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40D4" w14:textId="50D3534F" w:rsidR="00E31D3B" w:rsidRDefault="00E31D3B" w:rsidP="00E31D3B">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7 Практикалық сабақ. </w:t>
      </w:r>
    </w:p>
    <w:p w14:paraId="69E3977F" w14:textId="0918AE95" w:rsidR="00FC2CBA" w:rsidRPr="00BD4C21" w:rsidRDefault="00E31D3B" w:rsidP="00FC2CBA">
      <w:pPr>
        <w:tabs>
          <w:tab w:val="left" w:pos="1276"/>
        </w:tabs>
        <w:rPr>
          <w:b/>
          <w:sz w:val="20"/>
          <w:szCs w:val="20"/>
          <w:lang w:val="kk-KZ"/>
        </w:rPr>
      </w:pPr>
      <w:r>
        <w:rPr>
          <w:rFonts w:ascii="Times New Roman" w:hAnsi="Times New Roman" w:cs="Times New Roman"/>
          <w:color w:val="0070C0"/>
          <w:sz w:val="36"/>
          <w:szCs w:val="36"/>
          <w:lang w:val="kk-KZ"/>
        </w:rPr>
        <w:t xml:space="preserve"> Тақырыбы</w:t>
      </w:r>
      <w:r w:rsidRPr="003F65DC">
        <w:rPr>
          <w:rFonts w:ascii="Times New Roman" w:hAnsi="Times New Roman" w:cs="Times New Roman"/>
          <w:sz w:val="28"/>
          <w:szCs w:val="28"/>
          <w:lang w:val="kk-KZ"/>
        </w:rPr>
        <w:t>-</w:t>
      </w:r>
      <w:r w:rsidR="003F65DC" w:rsidRPr="003F65DC">
        <w:rPr>
          <w:rFonts w:ascii="Times New Roman" w:hAnsi="Times New Roman" w:cs="Times New Roman"/>
          <w:bCs/>
          <w:sz w:val="28"/>
          <w:szCs w:val="28"/>
          <w:lang w:val="kk-KZ"/>
        </w:rPr>
        <w:t xml:space="preserve"> </w:t>
      </w:r>
      <w:r w:rsidR="00FC2CBA">
        <w:rPr>
          <w:bCs/>
          <w:sz w:val="20"/>
          <w:szCs w:val="20"/>
          <w:lang w:val="kk-KZ"/>
        </w:rPr>
        <w:t xml:space="preserve"> </w:t>
      </w:r>
      <w:r w:rsidR="00FC2CBA" w:rsidRPr="00FC2CBA">
        <w:rPr>
          <w:rFonts w:ascii="Times New Roman" w:hAnsi="Times New Roman" w:cs="Times New Roman"/>
          <w:bCs/>
          <w:color w:val="FF0000"/>
          <w:sz w:val="40"/>
          <w:szCs w:val="40"/>
          <w:lang w:val="kk-KZ"/>
        </w:rPr>
        <w:t>Белгісіздік пен тәуекел кезінде шешім қабылдау</w:t>
      </w:r>
    </w:p>
    <w:p w14:paraId="2681FF8E"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Іске асыруды басқару кезеңінде орындалатын әрекеттерді көрсетіңіз</w:t>
      </w:r>
    </w:p>
    <w:p w14:paraId="6435B36A"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шешімдер.</w:t>
      </w:r>
    </w:p>
    <w:p w14:paraId="7B30D8A0"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а) Шешімді аяқтау мерзімдері бойынша ресурстарды бөлу</w:t>
      </w:r>
    </w:p>
    <w:p w14:paraId="1BF35A47"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ә) Орындаушылар арасында жауапкершілікті бөлу</w:t>
      </w:r>
    </w:p>
    <w:p w14:paraId="61DB1BD9"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 Шешімнің нақты нәтижелерін жоспарланғанмен салыстыру</w:t>
      </w:r>
    </w:p>
    <w:p w14:paraId="2DC84DA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в) Ақпарат жинағы</w:t>
      </w:r>
    </w:p>
    <w:p w14:paraId="785859EE"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5. Шешім қабылдау технологиясының элементтерін көрсетіңіз.</w:t>
      </w:r>
    </w:p>
    <w:p w14:paraId="707F043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а) Даму кезеңдерінің бірізділігі</w:t>
      </w:r>
    </w:p>
    <w:p w14:paraId="53D2468A"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 Басқару стильдері</w:t>
      </w:r>
    </w:p>
    <w:p w14:paraId="44E906C1"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в) Даму әдістері</w:t>
      </w:r>
    </w:p>
    <w:p w14:paraId="3AB50629" w14:textId="77777777" w:rsidR="0015736F" w:rsidRPr="0015736F" w:rsidRDefault="0015736F" w:rsidP="0015736F">
      <w:pPr>
        <w:rPr>
          <w:rFonts w:ascii="Times New Roman" w:hAnsi="Times New Roman" w:cs="Times New Roman"/>
          <w:color w:val="0070C0"/>
          <w:sz w:val="28"/>
          <w:szCs w:val="28"/>
        </w:rPr>
      </w:pPr>
      <w:r w:rsidRPr="0015736F">
        <w:rPr>
          <w:rFonts w:ascii="Times New Roman" w:hAnsi="Times New Roman" w:cs="Times New Roman"/>
          <w:color w:val="0070C0"/>
          <w:sz w:val="28"/>
          <w:szCs w:val="28"/>
          <w:lang w:val="kk-KZ"/>
        </w:rPr>
        <w:t>г) Психологиялық құбылыстар</w:t>
      </w:r>
    </w:p>
    <w:p w14:paraId="4DBA29E3" w14:textId="77777777" w:rsidR="0015736F" w:rsidRPr="0015736F" w:rsidRDefault="0015736F" w:rsidP="0015736F">
      <w:pPr>
        <w:rPr>
          <w:rFonts w:ascii="Times New Roman" w:hAnsi="Times New Roman" w:cs="Times New Roman"/>
          <w:color w:val="0070C0"/>
          <w:sz w:val="28"/>
          <w:szCs w:val="28"/>
        </w:rPr>
      </w:pPr>
    </w:p>
    <w:p w14:paraId="79E5BEE1" w14:textId="77777777" w:rsidR="0015736F" w:rsidRPr="0015736F" w:rsidRDefault="0015736F" w:rsidP="0015736F">
      <w:pPr>
        <w:rPr>
          <w:rFonts w:ascii="Times New Roman" w:hAnsi="Times New Roman" w:cs="Times New Roman"/>
          <w:color w:val="0070C0"/>
          <w:sz w:val="28"/>
          <w:szCs w:val="28"/>
        </w:rPr>
      </w:pPr>
    </w:p>
    <w:p w14:paraId="7DD8C0A2"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Осылайша, классикалық көзқарас (Дж. Милл) тәуекелді ықтималдық ретінде анықтайды</w:t>
      </w:r>
    </w:p>
    <w:p w14:paraId="7F6313A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субъект өзінің таңдаған әрекет стратегиясына және сыртқы және ішкі факторлардың әсеріне байланысты шығынға ұшырайды. Көріп отырғаныңыздай, мұндайда</w:t>
      </w:r>
    </w:p>
    <w:p w14:paraId="16F5601C"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Тәуекелді теріс қабылдаумен қатар оң көзқарас та бар.</w:t>
      </w:r>
    </w:p>
    <w:p w14:paraId="5E74CA71" w14:textId="77777777" w:rsidR="0015736F" w:rsidRPr="0015736F" w:rsidRDefault="0015736F" w:rsidP="0015736F">
      <w:pPr>
        <w:rPr>
          <w:rFonts w:ascii="Times New Roman" w:hAnsi="Times New Roman" w:cs="Times New Roman"/>
          <w:color w:val="0070C0"/>
          <w:sz w:val="28"/>
          <w:szCs w:val="28"/>
          <w:lang w:val="kk-KZ"/>
        </w:rPr>
      </w:pPr>
    </w:p>
    <w:p w14:paraId="41873AB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Классикалық емес көзқарас (А. Маршалл, А. Пичу) тәуекелді ретінде қарастырады субъектінің өз мақсаттарынан ауытқуының көрсеткіші. Тәуекел пайда болады жоспарланған және нақты орындалған іс-шаралардың сандық және сапалық параметрлері арасындағы сәйкессіздік белгісі.</w:t>
      </w:r>
    </w:p>
    <w:p w14:paraId="7BE3C335" w14:textId="77777777" w:rsidR="0015736F" w:rsidRPr="0015736F" w:rsidRDefault="0015736F" w:rsidP="0015736F">
      <w:pPr>
        <w:rPr>
          <w:rFonts w:ascii="Times New Roman" w:hAnsi="Times New Roman" w:cs="Times New Roman"/>
          <w:color w:val="0070C0"/>
          <w:sz w:val="28"/>
          <w:szCs w:val="28"/>
          <w:lang w:val="kk-KZ"/>
        </w:rPr>
      </w:pPr>
    </w:p>
    <w:p w14:paraId="6BC4D4D1"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Модернистік көзқарас (В.Бек, Э.Гидденс) тәуекелді белгілі бір жағдайларға байланысты қазіргі заманғы байланыстар мен қатынастарды жаңғыртудың салдары ретінде түсіндіреді.</w:t>
      </w:r>
    </w:p>
    <w:p w14:paraId="79254CD5"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lastRenderedPageBreak/>
        <w:t>Мемлекеттік шешімдер қабылдауға әсер ететін ең көрнектілері</w:t>
      </w:r>
    </w:p>
    <w:p w14:paraId="270191C6"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Тәуекелдерге мыналар жатады:</w:t>
      </w:r>
    </w:p>
    <w:p w14:paraId="02421F4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Процедуралық тәуекелдер негізінен проблемаларды диагностикалау, мақсаттарды жүзеге асыру, адам ресурстарын тарту, ақпаратпен жұмыс істеу әдістерін анықтау және басқа да басқару әрекеттері процесінде туындайды. Өз кезегінде, оларды бағалау, мәселе туралы материалдарды жинау, мақсаттарды жүзеге асыру және т.б. тәуекелдер деп бөлуге болады. Сондай-ақ оларға мемлекеттік органдардың серіктестермен, мердігерлермен өзара әрекеттесуінен туындайтын тәуекелдер жатады.</w:t>
      </w:r>
    </w:p>
    <w:p w14:paraId="3DB722DD" w14:textId="77777777" w:rsidR="0015736F" w:rsidRPr="0015736F" w:rsidRDefault="0015736F" w:rsidP="0015736F">
      <w:pPr>
        <w:rPr>
          <w:rFonts w:ascii="Times New Roman" w:hAnsi="Times New Roman" w:cs="Times New Roman"/>
          <w:color w:val="0070C0"/>
          <w:sz w:val="28"/>
          <w:szCs w:val="28"/>
          <w:lang w:val="kk-KZ"/>
        </w:rPr>
      </w:pPr>
    </w:p>
    <w:p w14:paraId="35C14EF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Елеулі және өткір қауіптерді тудырмайтын немесе төмен қарқынды қауіптер мен қауіптерді тудыратын баяу жанжалдарды сипаттайтын жұмсақ тәуекелдер. Мысалы, бұл реттелмейтін көші-қонды қамтиды, ол мемлекет үшін теріс нәтижелерге әкелместен жылдарға созылуы мүмкін, бірақ болашақта бұл үшін алғышарттар жасайды, бұл болашақта сыни болуы мүмкін.</w:t>
      </w:r>
    </w:p>
    <w:p w14:paraId="53FFC3B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Мемлекет үшін негізгі салаларда (мысалы, ақпараттық немесе әскери қауіпсіздік, экономика) туындайтын және ең ауыр теріс және тіпті жүйелі салдарларға толы ауыр тәуекелдер. Оларға дефолт қаупі, жау әскерлерінің мемлекет шекарасына жақындауы және т.б.</w:t>
      </w:r>
    </w:p>
    <w:p w14:paraId="1604C0E4"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Мемлекеттің мемлекеттік тәуекелдер мен соған байланысты залал деңгейін төмендету үшін мынадай мүмкіндіктері бар:</w:t>
      </w:r>
    </w:p>
    <w:p w14:paraId="4F68AA24"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тәуекелдерді барынша азайтатын басқару технологияларын қолдануға қабілетті персоналды даярлау;</w:t>
      </w:r>
    </w:p>
    <w:p w14:paraId="7D541392"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xml:space="preserve"> - тәуекелді сақтандыру;</w:t>
      </w:r>
    </w:p>
    <w:p w14:paraId="1D7FC8D8"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ықтимал тәуекелдер туралы сенімді ақпараттың алдын ала ұлғаюы және олардың ықтимал салдарын болжамды болжау;</w:t>
      </w:r>
    </w:p>
    <w:p w14:paraId="4A48C33C"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тәуекелді болдырмау;</w:t>
      </w:r>
    </w:p>
    <w:p w14:paraId="6476BA8C"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тәуекелді бақылау;</w:t>
      </w:r>
    </w:p>
    <w:p w14:paraId="39DF805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гипотетикалық қауіптерді басқару модельдері мен механизмдерін қолдану;</w:t>
      </w:r>
    </w:p>
    <w:p w14:paraId="4E4AC678" w14:textId="77777777" w:rsidR="0015736F" w:rsidRPr="0015736F" w:rsidRDefault="0015736F" w:rsidP="0015736F">
      <w:pPr>
        <w:rPr>
          <w:rFonts w:ascii="Times New Roman" w:hAnsi="Times New Roman" w:cs="Times New Roman"/>
          <w:color w:val="0070C0"/>
          <w:sz w:val="28"/>
          <w:szCs w:val="28"/>
        </w:rPr>
      </w:pPr>
      <w:r w:rsidRPr="0015736F">
        <w:rPr>
          <w:rFonts w:ascii="Times New Roman" w:hAnsi="Times New Roman" w:cs="Times New Roman"/>
          <w:color w:val="0070C0"/>
          <w:sz w:val="28"/>
          <w:szCs w:val="28"/>
          <w:lang w:val="kk-KZ"/>
        </w:rPr>
        <w:t>- дағдарысқа қарсы стратегияларды жүзеге асыру.</w:t>
      </w:r>
    </w:p>
    <w:p w14:paraId="25ACCD07"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xml:space="preserve">Венчурлік (тәуекел) факторлардың мемлекеттік басқаруға және оның қабылдайтын шешімдеріне әсерін барынша азайтудың шешуші құралдары бақылау және тәуекелдерді басқару болып табылады. Бұл ретте бақылаудың әртүрлі нысандары тәуекелдерді басқарудың әртүрлі үлгілеріне енгізілген </w:t>
      </w:r>
      <w:r w:rsidRPr="0015736F">
        <w:rPr>
          <w:rFonts w:ascii="Times New Roman" w:hAnsi="Times New Roman" w:cs="Times New Roman"/>
          <w:color w:val="0070C0"/>
          <w:sz w:val="28"/>
          <w:szCs w:val="28"/>
          <w:lang w:val="kk-KZ"/>
        </w:rPr>
        <w:lastRenderedPageBreak/>
        <w:t>(мониторинг; тәуекелдерді болжамды болжау бойынша аналитикалық шараларды жүзеге асыру; тәуекелді алдын ала сақтандыру; шешім қабылдаушы тұлғаларды тәуекелдерге материалдық және психологиялық дайындау, сондай-ақ кейбір басқа әрекеттер). ).</w:t>
      </w:r>
    </w:p>
    <w:p w14:paraId="71423A71"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Тәуекелдерді басқару – бұл тәуекелдерді болдырмауға, олардың алдын алуға, оларды сақтандыруға, сондай-ақ мемлекет белгілеген басымдықтар мен мақсаттарды сақтауға, қабылданған шешімдерден ықтимал залалды барынша азайтуға мүмкіндік беретін стратегияларды әзірлеуге бағытталған арнайы аналитикалық және қолданбалы іс-шаралар тізбесі.</w:t>
      </w:r>
    </w:p>
    <w:p w14:paraId="14C8E409"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Мемлекеттік шешімдерді қалыптастыру және іске асыру процесінде тәуекелдерді басқару заңнамалық шектеулерді және мемлекет бұрын қабылдаған міндеттемелерді ескере отырып, мақсат қоюдың ортақ қағидаттары мен басымдықтарын сақтауға, нақты тұлғалардың тактикалық, қаржылық, ақпараттық және басқа да мүмкіндіктерін оңтайландыруға арналған. жауапкершіліктің әртүрлі салаларында залалды азайту үшін мемлекеттік басқару институттары</w:t>
      </w:r>
    </w:p>
    <w:p w14:paraId="79E0DEC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билік.</w:t>
      </w:r>
    </w:p>
    <w:p w14:paraId="42D0146C"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Бақылау және тәуекелдерді басқарудың әртүрлі стратегияларының болуына қарамастан, олардың барлығын мемлекетке венчурлық факторларға әсер етудің төрт әмбебап тәсілінің біріне жатқызуға болады. Бұл әдістер топтарына саяси, аналитикалық, әлеуметтік және қаржылық құралдар жатады.</w:t>
      </w:r>
    </w:p>
    <w:p w14:paraId="43AC44AE"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Осылайша, саяси әдістер елдік тәуекелдер деңгейін төмендетеді. Оларға мемлекеттік саясат нысандарын жетілдіру және жүргізіліп жатқан бағыттың ашықтығын арттыру, мемлекеттік басқару жүйесіндегі қақтығыстарды азайту, билік пен қоғам арасындағы кері байланыс байланыстарын жандандыру, қысқа мерзімді және ұзақ мерзімді байланыстарды нығайту бойынша билік органдарының іс-әрекеттері жатады. мерзімді жобалар, отандық ашықтық пен жабықтықтың дұрыс өлшемін белгілеу экономика, шешім қабылдау кезінде ұжымдық пікірді ескеруді арттыру және т.б.Бұл әдістер мемлекет пен қоғамның қауіпсіздік деңгейін арттыруға, билеуші ​​режим мен мемлекеттік реттеу жүйесінің қауіпсіздігін нығайтуға әкеледі.</w:t>
      </w:r>
    </w:p>
    <w:p w14:paraId="42D3B20F" w14:textId="77777777" w:rsidR="0015736F" w:rsidRPr="0015736F" w:rsidRDefault="0015736F" w:rsidP="0015736F">
      <w:pPr>
        <w:rPr>
          <w:rFonts w:ascii="Times New Roman" w:hAnsi="Times New Roman" w:cs="Times New Roman"/>
          <w:color w:val="0070C0"/>
          <w:sz w:val="28"/>
          <w:szCs w:val="28"/>
          <w:lang w:val="kk-KZ"/>
        </w:rPr>
      </w:pPr>
    </w:p>
    <w:p w14:paraId="4E62C409"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Аналитикалық әдістер оқиғалардың ықтимал дамуының теориялық және қолданбалы үлгілерін жетілдіруге бағытталған. Бұл ақпарат менеджерлерге олардың тәуекелдерге ұшырауына қатысты экономикалық, әкімшілік және басқа жүйелердің жай-күйін нақтылауға, әртүрлі тәуекел түрлерінің өзара әрекеттесу салдарын дәлірек анықтауға,</w:t>
      </w:r>
    </w:p>
    <w:p w14:paraId="3E077E4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lastRenderedPageBreak/>
        <w:t>баламалардың көбірек саны, мемлекеттік органдардың мақсаттары мен ішкі мақсаттарын нақтылау.</w:t>
      </w:r>
    </w:p>
    <w:p w14:paraId="4083A6E2"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Осылайша, арнайы үлгілерді, сондай-ақ тәуекелдерді басқару мен бақылаудың нақты рәсімдерін пайдалану тәуекел факторларының көрініс беру аймағын және жиынтығын, олардың сипаты мен қауіп мазмұнын нақтылауға, ықтимал теріс әсерлердің ықтималдығын бағалауға мүмкіндік береді. салдары, қорғау құралдарын анықтау және әртүрлі қауіптерден ысыраптарды азайту және ақыр соңында басқару әрекеттерінің оңтайлы нұсқасын әзірлеу.</w:t>
      </w:r>
    </w:p>
    <w:p w14:paraId="15A5FE1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Осындай кешенді тәсілдің арқасында мемлекеттік органдар</w:t>
      </w:r>
    </w:p>
    <w:p w14:paraId="1C10EDCE"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менеджмент әртүрлі басқару стратегияларын ұстана алады - бастап</w:t>
      </w:r>
    </w:p>
    <w:p w14:paraId="507FB594"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дейін тәуекел жағдайын бақылау және залалдың алдын алу (азайту).</w:t>
      </w:r>
    </w:p>
    <w:p w14:paraId="4E65BC04"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үшін шығындарды қаржыландыруға немесе өтеуге бағытталған әрекеттер</w:t>
      </w:r>
    </w:p>
    <w:p w14:paraId="2FEAC9B5"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шығындар немесе тәуекелдердің «бөлшектелуі» және оларды басқа контрагенттерге беру,</w:t>
      </w:r>
    </w:p>
    <w:p w14:paraId="5D48FFF1"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немесе керісінше тәуекелге бару.</w:t>
      </w:r>
    </w:p>
    <w:p w14:paraId="548F9C90" w14:textId="77777777" w:rsidR="0015736F" w:rsidRPr="0015736F" w:rsidRDefault="0015736F" w:rsidP="0015736F">
      <w:pPr>
        <w:rPr>
          <w:rFonts w:ascii="Times New Roman" w:hAnsi="Times New Roman" w:cs="Times New Roman"/>
          <w:color w:val="0070C0"/>
          <w:sz w:val="28"/>
          <w:szCs w:val="28"/>
          <w:lang w:val="kk-KZ"/>
        </w:rPr>
      </w:pPr>
    </w:p>
    <w:p w14:paraId="24761C40" w14:textId="77777777" w:rsidR="0015736F" w:rsidRPr="0015736F" w:rsidRDefault="0015736F" w:rsidP="0015736F">
      <w:pPr>
        <w:rPr>
          <w:rFonts w:ascii="Times New Roman" w:hAnsi="Times New Roman" w:cs="Times New Roman"/>
          <w:color w:val="0070C0"/>
          <w:sz w:val="28"/>
          <w:szCs w:val="28"/>
          <w:lang w:val="kk-KZ"/>
        </w:rPr>
      </w:pPr>
    </w:p>
    <w:p w14:paraId="62269838"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Тест сұрақтары мен тапсырмалар</w:t>
      </w:r>
    </w:p>
    <w:p w14:paraId="7DAA756E"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 xml:space="preserve"> Бақылау сұрақтары:</w:t>
      </w:r>
    </w:p>
    <w:p w14:paraId="0F67FC0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1. Белгісіздік және басқару тәуекелі түсінігіне анықтама беріңіз.</w:t>
      </w:r>
    </w:p>
    <w:p w14:paraId="233CE7DF"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2. Басқарудағы тәуекелдердің құрамдас бөліктері мен көздерін көрсетіңіз.</w:t>
      </w:r>
    </w:p>
    <w:p w14:paraId="7298207D"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3. Белгісіздік компоненттері мен шарттарын атаңыз.</w:t>
      </w:r>
    </w:p>
    <w:p w14:paraId="51234A61"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4. Белгісіздік жағдайында басқару шешімдерін қабылдаудың қандай әдістері бар?</w:t>
      </w:r>
    </w:p>
    <w:p w14:paraId="51E94587"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Тест тапсырмалары:</w:t>
      </w:r>
    </w:p>
    <w:p w14:paraId="7D1D2128"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1. Белгісіздіктен шығудың мүмкін жолдарын көрсетіңіз.</w:t>
      </w:r>
    </w:p>
    <w:p w14:paraId="618E08EB"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а) Ақпараттың сенімділігін арттыру</w:t>
      </w:r>
    </w:p>
    <w:p w14:paraId="20F91649"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 Шешім нұсқаларының санын көбейту</w:t>
      </w:r>
    </w:p>
    <w:p w14:paraId="0ED8AC1D"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в) Шешімді орындауды ұйымдастыруды жетілдіру</w:t>
      </w:r>
    </w:p>
    <w:p w14:paraId="294F93DA"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г) Ақпараттың толықтығын арттыру</w:t>
      </w:r>
    </w:p>
    <w:p w14:paraId="6CE7D85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2. Тәуекелдің белгілерін көрсетіңіз.</w:t>
      </w:r>
    </w:p>
    <w:p w14:paraId="1562E8F5"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lastRenderedPageBreak/>
        <w:t>а) Шешім қабылдауға және жүзеге асыруға мотивацияның әлсіздігі</w:t>
      </w:r>
    </w:p>
    <w:p w14:paraId="0E8FBBC6"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 Шешім нәтижесінің оң ауытқу ықтималдығы</w:t>
      </w:r>
    </w:p>
    <w:p w14:paraId="3B235A52"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в) Шешім нәтижесінің теріс ауытқу ықтималдығы</w:t>
      </w:r>
    </w:p>
    <w:p w14:paraId="564CC8E4"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г) Шешімнің орындалуын бақылаудың жетілмегендігі</w:t>
      </w:r>
    </w:p>
    <w:p w14:paraId="5AC3A925"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3. Тәуекелдің белгілерін көрсетіңіз.</w:t>
      </w:r>
    </w:p>
    <w:p w14:paraId="1F3CD3E0"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а) Шешім қабылдауға және жүзеге асыруға мотивацияның әлсіздігі</w:t>
      </w:r>
    </w:p>
    <w:p w14:paraId="7B98ED45"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 Шешім нәтижесінің оң ауытқу ықтималдығы</w:t>
      </w:r>
    </w:p>
    <w:p w14:paraId="34D37969"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в) Шешім нәтижесінің теріс ауытқу ықтималдығы</w:t>
      </w:r>
    </w:p>
    <w:p w14:paraId="2FE58909"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г) Шешімнің орындалуын бақылаудың жетілмегендігі</w:t>
      </w:r>
    </w:p>
    <w:p w14:paraId="13C6FA96"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4. Мемлекеттік шешімдерді орындау кезіндегі тәуекелдерді төмендетудің негізгі әдістерін көрсетіңіз.</w:t>
      </w:r>
    </w:p>
    <w:p w14:paraId="5387F793"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а) Азаматтарды сендіру</w:t>
      </w:r>
    </w:p>
    <w:p w14:paraId="2231AD41"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б) Бақылау</w:t>
      </w:r>
    </w:p>
    <w:p w14:paraId="66D04AD6"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в) Артықшылықтар</w:t>
      </w:r>
    </w:p>
    <w:p w14:paraId="5FD3E4BC" w14:textId="77777777" w:rsidR="0015736F" w:rsidRPr="0015736F" w:rsidRDefault="0015736F" w:rsidP="0015736F">
      <w:pPr>
        <w:rPr>
          <w:rFonts w:ascii="Times New Roman" w:hAnsi="Times New Roman" w:cs="Times New Roman"/>
          <w:color w:val="0070C0"/>
          <w:sz w:val="28"/>
          <w:szCs w:val="28"/>
          <w:lang w:val="kk-KZ"/>
        </w:rPr>
      </w:pPr>
      <w:r w:rsidRPr="0015736F">
        <w:rPr>
          <w:rFonts w:ascii="Times New Roman" w:hAnsi="Times New Roman" w:cs="Times New Roman"/>
          <w:color w:val="0070C0"/>
          <w:sz w:val="28"/>
          <w:szCs w:val="28"/>
          <w:lang w:val="kk-KZ"/>
        </w:rPr>
        <w:t>г) Сақтандыру</w:t>
      </w:r>
    </w:p>
    <w:p w14:paraId="45ACB964" w14:textId="7C89B105" w:rsidR="00E31D3B" w:rsidRPr="003F65DC" w:rsidRDefault="00E31D3B" w:rsidP="00E31D3B">
      <w:pPr>
        <w:rPr>
          <w:rFonts w:ascii="Times New Roman" w:hAnsi="Times New Roman" w:cs="Times New Roman"/>
          <w:color w:val="0070C0"/>
          <w:sz w:val="28"/>
          <w:szCs w:val="28"/>
          <w:lang w:val="kk-KZ"/>
        </w:rPr>
      </w:pPr>
    </w:p>
    <w:p w14:paraId="11F57AD0" w14:textId="77777777" w:rsidR="00FC2CBA" w:rsidRDefault="00FC2CBA" w:rsidP="00E31D3B">
      <w:pPr>
        <w:spacing w:after="0" w:line="240" w:lineRule="auto"/>
        <w:rPr>
          <w:rFonts w:ascii="Times New Roman" w:hAnsi="Times New Roman" w:cs="Times New Roman"/>
          <w:b/>
          <w:bCs/>
          <w:sz w:val="24"/>
          <w:szCs w:val="24"/>
          <w:lang w:val="kk-KZ"/>
        </w:rPr>
      </w:pPr>
    </w:p>
    <w:p w14:paraId="0E5109E6" w14:textId="261515E3" w:rsidR="00E31D3B" w:rsidRDefault="00E31D3B" w:rsidP="00E31D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55F5647E" w14:textId="77777777" w:rsidR="00E31D3B" w:rsidRDefault="00E31D3B" w:rsidP="00E31D3B">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421D087F" w14:textId="77777777" w:rsidR="00E31D3B" w:rsidRDefault="00E31D3B" w:rsidP="00E31D3B">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EDBB7FE" w14:textId="77777777" w:rsidR="00E31D3B" w:rsidRDefault="00E31D3B" w:rsidP="00E31D3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7E2E6C87" w14:textId="77777777" w:rsidR="00E31D3B" w:rsidRDefault="00E31D3B" w:rsidP="00E31D3B">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6066E8D" w14:textId="77777777" w:rsidR="00E31D3B" w:rsidRDefault="00E31D3B" w:rsidP="00E31D3B">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FCC0CA2" w14:textId="77777777" w:rsidR="00E31D3B" w:rsidRDefault="00E31D3B" w:rsidP="00E31D3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620D94E4" w14:textId="77777777" w:rsidR="00E31D3B" w:rsidRDefault="00E31D3B" w:rsidP="00E31D3B">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E15DA33" w14:textId="77777777" w:rsidR="00E31D3B" w:rsidRDefault="00E31D3B" w:rsidP="00E31D3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6760BB87" w14:textId="77777777" w:rsidR="00E31D3B" w:rsidRDefault="00E31D3B" w:rsidP="00E31D3B">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0507248E" w14:textId="77777777" w:rsidR="00E31D3B" w:rsidRDefault="00E31D3B" w:rsidP="00E31D3B">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lastRenderedPageBreak/>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E120E62" w14:textId="77777777" w:rsidR="00E31D3B" w:rsidRDefault="00E31D3B" w:rsidP="00E31D3B">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15BECBA7" w14:textId="77777777" w:rsidR="00E31D3B" w:rsidRDefault="00E31D3B" w:rsidP="00E31D3B">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5397777F" w14:textId="77777777" w:rsidR="00E31D3B" w:rsidRDefault="00E31D3B" w:rsidP="00E31D3B">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74D014F5" w14:textId="77777777" w:rsidR="00E31D3B" w:rsidRDefault="00E31D3B" w:rsidP="00E31D3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6DC0E254" w14:textId="77777777" w:rsidR="00E31D3B" w:rsidRDefault="00E31D3B" w:rsidP="00E31D3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1BB79CF0" w14:textId="77777777" w:rsidR="00E31D3B" w:rsidRDefault="00E31D3B" w:rsidP="00E31D3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6E0C76BB" w14:textId="77777777" w:rsidR="00E31D3B" w:rsidRDefault="00E31D3B" w:rsidP="00E31D3B">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6F33D213" w14:textId="77777777" w:rsidR="00E31D3B" w:rsidRDefault="00E31D3B" w:rsidP="00E31D3B">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320F23B5" w14:textId="77777777" w:rsidR="00E31D3B" w:rsidRDefault="00E31D3B" w:rsidP="00E31D3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09D99386" w14:textId="77777777" w:rsidR="00E31D3B" w:rsidRDefault="00E31D3B" w:rsidP="00E31D3B">
      <w:pPr>
        <w:spacing w:after="0" w:line="240" w:lineRule="auto"/>
        <w:rPr>
          <w:rFonts w:ascii="Times New Roman" w:hAnsi="Times New Roman" w:cs="Times New Roman"/>
          <w:sz w:val="24"/>
          <w:szCs w:val="24"/>
          <w:lang w:val="kk-KZ"/>
        </w:rPr>
      </w:pPr>
    </w:p>
    <w:p w14:paraId="7AFD3B11" w14:textId="77777777" w:rsidR="00E31D3B" w:rsidRDefault="00E31D3B" w:rsidP="00E31D3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FCFEEA3" w14:textId="77777777" w:rsidR="00E31D3B" w:rsidRDefault="00E31D3B" w:rsidP="00E31D3B">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4702DFF8" w14:textId="77777777" w:rsidR="00E31D3B" w:rsidRDefault="00E31D3B" w:rsidP="00E31D3B">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5457177E"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2C2D13EB"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5861DB5D"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3D295314"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75650D5D"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40BEA697"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6D09C7CB"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B42A7E4"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72F9418"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37513463" w14:textId="77777777" w:rsidR="00E31D3B" w:rsidRDefault="00E31D3B" w:rsidP="00E31D3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33963F00" w14:textId="77777777" w:rsidR="00E31D3B" w:rsidRDefault="00E31D3B">
      <w:pPr>
        <w:rPr>
          <w:lang w:val="kk-KZ"/>
        </w:rPr>
      </w:pPr>
    </w:p>
    <w:p w14:paraId="18FBFD7A" w14:textId="77777777" w:rsidR="006C0B8C" w:rsidRDefault="006C0B8C">
      <w:pPr>
        <w:rPr>
          <w:lang w:val="kk-KZ"/>
        </w:rPr>
      </w:pPr>
    </w:p>
    <w:p w14:paraId="0FE96424" w14:textId="77777777" w:rsidR="005E34B9" w:rsidRDefault="005E34B9" w:rsidP="005E34B9">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07B3624B" w14:textId="77777777" w:rsidR="005E34B9" w:rsidRDefault="00000000" w:rsidP="005E34B9">
      <w:pPr>
        <w:pStyle w:val="a4"/>
        <w:numPr>
          <w:ilvl w:val="0"/>
          <w:numId w:val="3"/>
        </w:numPr>
        <w:rPr>
          <w:rFonts w:ascii="Times New Roman" w:hAnsi="Times New Roman" w:cs="Times New Roman"/>
          <w:color w:val="000000" w:themeColor="text1"/>
          <w:sz w:val="28"/>
          <w:szCs w:val="28"/>
          <w:lang w:val="kk-KZ"/>
        </w:rPr>
      </w:pPr>
      <w:hyperlink r:id="rId10" w:history="1">
        <w:r w:rsidR="005E34B9">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07CE86FB" w14:textId="77777777" w:rsidR="005E34B9" w:rsidRDefault="005E34B9" w:rsidP="005E34B9">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191CF359" w14:textId="77777777" w:rsidR="005E34B9" w:rsidRDefault="005E34B9" w:rsidP="005E34B9">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6B05E99" w14:textId="77777777" w:rsidR="005E34B9" w:rsidRDefault="005E34B9" w:rsidP="005E34B9">
      <w:pPr>
        <w:rPr>
          <w:lang w:val="kk-KZ"/>
        </w:rPr>
      </w:pPr>
    </w:p>
    <w:p w14:paraId="79D851B3" w14:textId="77777777" w:rsidR="006C0B8C" w:rsidRPr="003F65DC" w:rsidRDefault="006C0B8C">
      <w:pPr>
        <w:rPr>
          <w:lang w:val="kk-KZ"/>
        </w:rPr>
      </w:pPr>
    </w:p>
    <w:sectPr w:rsidR="006C0B8C" w:rsidRPr="003F6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23721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979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569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D3"/>
    <w:rsid w:val="0015736F"/>
    <w:rsid w:val="001632AF"/>
    <w:rsid w:val="003F65DC"/>
    <w:rsid w:val="005E34B9"/>
    <w:rsid w:val="006C0B8C"/>
    <w:rsid w:val="00E31D3B"/>
    <w:rsid w:val="00EF1ED3"/>
    <w:rsid w:val="00FC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AD17"/>
  <w15:chartTrackingRefBased/>
  <w15:docId w15:val="{74C4265F-331C-46A5-BB96-3D7743D9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D3B"/>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1D3B"/>
    <w:rPr>
      <w:color w:val="0000FF"/>
      <w:u w:val="single"/>
    </w:rPr>
  </w:style>
  <w:style w:type="paragraph" w:styleId="a4">
    <w:name w:val="List Paragraph"/>
    <w:basedOn w:val="a"/>
    <w:uiPriority w:val="34"/>
    <w:qFormat/>
    <w:rsid w:val="00E31D3B"/>
    <w:pPr>
      <w:spacing w:line="252" w:lineRule="auto"/>
      <w:ind w:left="720"/>
      <w:contextualSpacing/>
    </w:pPr>
  </w:style>
  <w:style w:type="paragraph" w:customStyle="1" w:styleId="article-listitem">
    <w:name w:val="article-list__item"/>
    <w:basedOn w:val="a"/>
    <w:rsid w:val="00E31D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E31D3B"/>
    <w:rPr>
      <w:b/>
      <w:bCs/>
    </w:rPr>
  </w:style>
  <w:style w:type="table" w:styleId="a6">
    <w:name w:val="Table Grid"/>
    <w:basedOn w:val="a1"/>
    <w:uiPriority w:val="39"/>
    <w:rsid w:val="00FC2CBA"/>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4202">
      <w:bodyDiv w:val="1"/>
      <w:marLeft w:val="0"/>
      <w:marRight w:val="0"/>
      <w:marTop w:val="0"/>
      <w:marBottom w:val="0"/>
      <w:divBdr>
        <w:top w:val="none" w:sz="0" w:space="0" w:color="auto"/>
        <w:left w:val="none" w:sz="0" w:space="0" w:color="auto"/>
        <w:bottom w:val="none" w:sz="0" w:space="0" w:color="auto"/>
        <w:right w:val="none" w:sz="0" w:space="0" w:color="auto"/>
      </w:divBdr>
    </w:div>
    <w:div w:id="390616278">
      <w:bodyDiv w:val="1"/>
      <w:marLeft w:val="0"/>
      <w:marRight w:val="0"/>
      <w:marTop w:val="0"/>
      <w:marBottom w:val="0"/>
      <w:divBdr>
        <w:top w:val="none" w:sz="0" w:space="0" w:color="auto"/>
        <w:left w:val="none" w:sz="0" w:space="0" w:color="auto"/>
        <w:bottom w:val="none" w:sz="0" w:space="0" w:color="auto"/>
        <w:right w:val="none" w:sz="0" w:space="0" w:color="auto"/>
      </w:divBdr>
    </w:div>
    <w:div w:id="16901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2023-12-18T05:07:00Z</dcterms:created>
  <dcterms:modified xsi:type="dcterms:W3CDTF">2024-01-07T08:42:00Z</dcterms:modified>
</cp:coreProperties>
</file>